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center"/>
        <w:textAlignment w:val="auto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巨野县人民政府</w:t>
      </w:r>
    </w:p>
    <w:p w14:paraId="737E5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全</w:t>
      </w:r>
      <w:r>
        <w:rPr>
          <w:rFonts w:hint="eastAsia" w:ascii="方正小标宋简体" w:hAnsi="宋体" w:eastAsia="方正小标宋简体"/>
          <w:sz w:val="44"/>
          <w:szCs w:val="44"/>
        </w:rPr>
        <w:t>县202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/>
          <w:sz w:val="44"/>
          <w:szCs w:val="44"/>
        </w:rPr>
        <w:t>财政决算和202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年上半年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财政</w:t>
      </w:r>
      <w:r>
        <w:rPr>
          <w:rFonts w:hint="eastAsia" w:ascii="方正小标宋简体" w:hAnsi="宋体" w:eastAsia="方正小标宋简体"/>
          <w:sz w:val="44"/>
          <w:szCs w:val="44"/>
        </w:rPr>
        <w:t>预算执行情况的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报告</w:t>
      </w:r>
    </w:p>
    <w:p w14:paraId="1B62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center"/>
        <w:textAlignment w:val="auto"/>
        <w:rPr>
          <w:rFonts w:ascii="楷体_GB2312" w:eastAsia="楷体_GB2312"/>
          <w:spacing w:val="-4"/>
          <w:sz w:val="32"/>
          <w:szCs w:val="32"/>
        </w:rPr>
      </w:pPr>
      <w:r>
        <w:rPr>
          <w:rFonts w:hint="eastAsia" w:ascii="楷体_GB2312" w:eastAsia="楷体_GB2312"/>
          <w:spacing w:val="-4"/>
          <w:sz w:val="32"/>
          <w:szCs w:val="32"/>
        </w:rPr>
        <w:t>——202</w:t>
      </w:r>
      <w:r>
        <w:rPr>
          <w:rFonts w:hint="eastAsia" w:ascii="楷体_GB2312" w:eastAsia="楷体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pacing w:val="-4"/>
          <w:sz w:val="32"/>
          <w:szCs w:val="32"/>
        </w:rPr>
        <w:t>年</w:t>
      </w:r>
      <w:r>
        <w:rPr>
          <w:rFonts w:hint="eastAsia" w:ascii="楷体_GB2312" w:eastAsia="楷体_GB2312"/>
          <w:spacing w:val="-4"/>
          <w:sz w:val="32"/>
          <w:szCs w:val="32"/>
          <w:lang w:val="en-US" w:eastAsia="zh-CN"/>
        </w:rPr>
        <w:t>8</w:t>
      </w:r>
      <w:r>
        <w:rPr>
          <w:rFonts w:hint="eastAsia" w:ascii="楷体_GB2312" w:eastAsia="楷体_GB2312"/>
          <w:spacing w:val="-4"/>
          <w:sz w:val="32"/>
          <w:szCs w:val="32"/>
        </w:rPr>
        <w:t>月</w:t>
      </w:r>
      <w:r>
        <w:rPr>
          <w:rFonts w:hint="eastAsia" w:ascii="楷体_GB2312" w:eastAsia="楷体_GB2312"/>
          <w:spacing w:val="-4"/>
          <w:sz w:val="32"/>
          <w:szCs w:val="32"/>
          <w:lang w:val="en-US" w:eastAsia="zh-CN"/>
        </w:rPr>
        <w:t>13</w:t>
      </w:r>
      <w:r>
        <w:rPr>
          <w:rFonts w:hint="eastAsia" w:ascii="楷体_GB2312" w:eastAsia="楷体_GB2312"/>
          <w:spacing w:val="-4"/>
          <w:sz w:val="32"/>
          <w:szCs w:val="32"/>
        </w:rPr>
        <w:t>日在县第十九届人大常委会第二十六次会议上</w:t>
      </w:r>
    </w:p>
    <w:p w14:paraId="64B2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县政协副主席、</w:t>
      </w:r>
      <w:r>
        <w:rPr>
          <w:rFonts w:hint="eastAsia" w:ascii="楷体_GB2312" w:eastAsia="楷体_GB2312"/>
          <w:sz w:val="32"/>
          <w:szCs w:val="32"/>
        </w:rPr>
        <w:t>县财政局局长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李保玉</w:t>
      </w:r>
    </w:p>
    <w:p w14:paraId="0F8C0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0F38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both"/>
        <w:textAlignment w:val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李</w:t>
      </w:r>
      <w:r>
        <w:rPr>
          <w:rFonts w:hint="eastAsia" w:ascii="仿宋_GB2312" w:hAnsi="宋体" w:eastAsia="仿宋_GB2312"/>
          <w:sz w:val="32"/>
        </w:rPr>
        <w:t>主任、</w:t>
      </w:r>
      <w:r>
        <w:rPr>
          <w:rFonts w:hint="eastAsia" w:ascii="仿宋_GB2312" w:hAnsi="宋体" w:eastAsia="仿宋_GB2312"/>
          <w:sz w:val="32"/>
          <w:lang w:val="en-US" w:eastAsia="zh-CN"/>
        </w:rPr>
        <w:t>各位</w:t>
      </w:r>
      <w:r>
        <w:rPr>
          <w:rFonts w:hint="eastAsia" w:ascii="仿宋_GB2312" w:hAnsi="宋体" w:eastAsia="仿宋_GB2312"/>
          <w:sz w:val="32"/>
        </w:rPr>
        <w:t>副主任、各位委员：</w:t>
      </w:r>
    </w:p>
    <w:p w14:paraId="7388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我受县政府委托，向县人大常委会汇报全县2024年度财政决算和2025年上半年财政预算执行情况，请予审议。</w:t>
      </w:r>
    </w:p>
    <w:p w14:paraId="52A1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一、2024年财政决算情况</w:t>
      </w:r>
    </w:p>
    <w:p w14:paraId="34087974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一般公共预算收支决算情况</w:t>
      </w:r>
    </w:p>
    <w:p w14:paraId="417C0FB6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2024年，全县一般公共预算收入完成367193万元，完成调整预算的100.1%，增长4.1%，加上各项补助、债务转贷收入、动用预算稳定调节基金和上年结转、调入资金收入等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542431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万元，收入共计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909624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万元，其中县本级总收入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753068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</w:t>
      </w:r>
    </w:p>
    <w:p w14:paraId="147DEA84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2024年，全县一般公共预算总支出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909624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万元，其中县本级总支出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753068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万元。主要是：当年支出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667142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万元，完成调整预算的10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7.1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%，下降5.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%；上解上级支出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70021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万元，债务还本支出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4225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万元，结转下年支出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137141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万元。全县一般公共预算收支实现平衡。</w:t>
      </w:r>
    </w:p>
    <w:p w14:paraId="113BEBA5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auto"/>
          <w:kern w:val="0"/>
          <w:sz w:val="32"/>
          <w:szCs w:val="32"/>
          <w:lang w:val="en-US" w:eastAsia="zh-CN" w:bidi="ar"/>
        </w:rPr>
        <w:t>政府性基金收支决算情况</w:t>
      </w:r>
    </w:p>
    <w:p w14:paraId="44B7F27C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2024年，全县政府性基金收入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100614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万元，完成调整预算的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100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%，下降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62.8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%，加上级补助、债务转贷收入和上年结转等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460734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万元，共计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561348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万元。全县政府性基金总支出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561348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万元，其中：当年支出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488450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万元，完成调整预算的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100.3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下降2.4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%，上解上级支出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270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万元，调出资金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2024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万元，债券还本支出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65300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万元，结转下年支出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5304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万元。全县政府性基金收支实现平衡。</w:t>
      </w:r>
    </w:p>
    <w:p w14:paraId="4D3FA780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国有资本经营收支决算情况</w:t>
      </w:r>
    </w:p>
    <w:p w14:paraId="0583A81C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2024年，全县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国有资本经营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收入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28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万元，上年结转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万元，共计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36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万元。全县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国有资本经营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总支出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36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万元，其中：当年支出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32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万元，结转下年支出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万元。全县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国有资本经营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收支实现平衡。</w:t>
      </w:r>
    </w:p>
    <w:p w14:paraId="0196A6AE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社会保险基金收支决算情况</w:t>
      </w:r>
    </w:p>
    <w:p w14:paraId="69951FA5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2024年，全县社会保险基金预算收入完成129431万元，增长10.5%，增收12312万元，加上上年滚存结余149549万元，收入合计278980万元。社会保险基金预算支出完成115559万元，增长10.8%，增支11271万元，年末滚存结余163420万元。</w:t>
      </w:r>
    </w:p>
    <w:p w14:paraId="267E261B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经批准举借债务情况</w:t>
      </w:r>
    </w:p>
    <w:p w14:paraId="2F38E6A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2024年底全县政府债务余额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1187581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万元。其中：一般债务余额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67891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万元，专项债务余额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1119690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万元。2024年我县债务限额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1449674.95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万元，其中一般债务限额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68489.95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万元，专项债务限额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1381185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万元，均未超债务限额。</w:t>
      </w:r>
    </w:p>
    <w:p w14:paraId="15C0E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从决算情况看，去年全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财政运行平稳有序，呈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现以下几个特点：</w:t>
      </w:r>
    </w:p>
    <w:p w14:paraId="18F9CE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一是狠抓增收节支，财政运行稳中有进。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收入方面，依托县财源建设工作领导小组，锚定高质量发展目标，有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效应对收入形势变化，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加强会商分析研判，加大综合治税力度，堵塞征管漏洞，全力抓好收入工作。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2024年一般公共预算收入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</w:rPr>
        <w:t>367193万元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</w:rPr>
        <w:t>4.1%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，总量居全市第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位，增速居全市第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位。支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出方面，牢固树立过紧日子思想，严控非急需非刚性支出，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</w:rPr>
        <w:t>严格执行人大批准的预算，严禁随意“开口子”，严控预算追加事项，依法进行预算调剂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腾出财力保重点、保民生。</w:t>
      </w:r>
    </w:p>
    <w:p w14:paraId="6E17D9D9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 w:val="0"/>
        <w:autoSpaceDN/>
        <w:bidi w:val="0"/>
        <w:snapToGrid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仿宋_GB2312" w:hAnsi="Arial" w:eastAsia="仿宋_GB2312" w:cs="Arial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二是强化政策保障，经济活力回稳向好。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  <w:lang w:val="en-US" w:eastAsia="zh-CN"/>
        </w:rPr>
        <w:t>用好政府债券带动投资。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  <w:lang w:val="en-US" w:eastAsia="zh"/>
        </w:rPr>
        <w:t>2024年，我县共发行新增专项债券金额171000万元，切实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 w:bidi="ar"/>
        </w:rPr>
        <w:t>将专项债券政策红利转化为发展实效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  <w:lang w:val="en-US" w:eastAsia="zh-CN"/>
        </w:rPr>
        <w:t>。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>加大金融服务实体经济。通过开展政银企对接、金融伙伴等工作，引导各银行机构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聚焦企业、服务企业，持续加大信贷投放，不遗余力为地方实体经济发展提供金融服务和支持</w:t>
      </w:r>
      <w:r>
        <w:rPr>
          <w:rFonts w:hint="default" w:ascii="仿宋_GB2312" w:hAnsi="Arial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截至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2024年末，全县各项贷款余额411.57亿元，全年新增34.52亿元，增幅9.16%。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充分发挥政府采购政策效能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"/>
        </w:rPr>
        <w:t>，大力支持中小企业发展。2024年，我县政府采购合同金额66076.22万元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" w:bidi="ar"/>
        </w:rPr>
        <w:t>，其中，授予中小企业合同金额53806.80万元，占比81.43%，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政府采购支持中小微企业发展的政策功能发挥显著，有力支持了中小微企业的发展。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大力推进农业信贷担保工作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" w:bidi="ar"/>
        </w:rPr>
        <w:t>，2024年全年，为县区21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"/>
        </w:rPr>
        <w:t>2户农业经营主体提供担保贷款2.21亿元，为乡村振兴注入活水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。</w:t>
      </w:r>
    </w:p>
    <w:p w14:paraId="3AEA3A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Arial" w:eastAsia="仿宋_GB2312" w:cs="Arial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三是加大财政投入，民生福祉持续提升。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坚持以人民为中心的发展思想，尽力而为保障基本民生，落实惠民利民政策，2024年全县用于教育、社会保障和就业、卫生健康、农林水等方面民生支出达到56亿元，比重保持在80%以上。全县教育支出16.3亿元，增长0.2%；社会保障和就业支出17.6亿元、下降2.6%；卫生健康支出4.9亿元，增长1.8%；农林水支出9.9亿元，增长6.8%。把民生政策落实和资金使用情况，作为财会监督、绩效评价的重点，进一步加强监管、提升效益，维护好群众切身利益。</w:t>
      </w:r>
    </w:p>
    <w:p w14:paraId="55BC03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四是深化改革创新，资金效益不断增强。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完善轻重缓急分类保障机制，按照《财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政支出保障机制办法》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坚持首先保“三保”支出，再保上级专款及转移支付，直达资金优先保障，再保县委、县政府重点项目的顺序和原则安排支出。深化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"/>
        </w:rPr>
        <w:t>预算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绩效管理改革，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"/>
        </w:rPr>
        <w:t>通过财政绩效评价优化调减预算1060万元，推动财政资金高效使用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。深化国资国企改革，印发了《巨野县国有资本经营预算管理办法》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"/>
        </w:rPr>
        <w:t>。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开展政府投资项目预算评审,审减率达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"/>
        </w:rPr>
        <w:t>16.53</w:t>
      </w:r>
      <w:r>
        <w:rPr>
          <w:rFonts w:hint="eastAsia" w:ascii="仿宋_GB2312" w:hAnsi="Arial" w:eastAsia="仿宋_GB2312" w:cs="Arial"/>
          <w:color w:val="auto"/>
          <w:kern w:val="2"/>
          <w:sz w:val="32"/>
          <w:szCs w:val="32"/>
          <w:lang w:val="en-US" w:eastAsia="zh-CN"/>
        </w:rPr>
        <w:t>%,资源配置更有效率、资金使用更有效益。</w:t>
      </w:r>
    </w:p>
    <w:p w14:paraId="2C5EF731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五是坚持底线思维，风险防范稳定有序。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用足用好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一揽子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化债政策。</w:t>
      </w: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2024年我县隐债置换额度10.7亿元，结合我县实际，区分轻重缓解，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优先将资金用于置换</w:t>
      </w:r>
      <w:r>
        <w:rPr>
          <w:rFonts w:hint="default" w:ascii="仿宋_GB2312" w:hAnsi="楷体_GB2312" w:eastAsia="仿宋_GB2312" w:cs="仿宋_GB2312"/>
          <w:kern w:val="2"/>
          <w:sz w:val="32"/>
          <w:szCs w:val="32"/>
          <w:lang w:val="en-US" w:eastAsia="zh-CN" w:bidi="ar"/>
        </w:rPr>
        <w:t>到期时间临近、债务成本较高、涉众风险突出的隐性债务，并与城投公司防“爆雷”、防风险相结合，充分发挥置换债券资金效益。加快融资平台转型退出。充分利用政策机遇，统筹资金资源，加快融资平台隐性债务清零，同时积极与金融债权人沟通协商，2024年</w:t>
      </w: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退出融资平台名录1家</w:t>
      </w:r>
      <w:r>
        <w:rPr>
          <w:rFonts w:hint="default" w:ascii="仿宋_GB2312" w:hAnsi="楷体_GB2312" w:eastAsia="仿宋_GB2312" w:cs="仿宋_GB2312"/>
          <w:kern w:val="2"/>
          <w:sz w:val="32"/>
          <w:szCs w:val="32"/>
          <w:lang w:val="en-US" w:eastAsia="zh-CN" w:bidi="ar"/>
        </w:rPr>
        <w:t>，完成目标任务。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持续压降不良贷款存量，关注中小金融机构风险。</w:t>
      </w:r>
      <w:r>
        <w:rPr>
          <w:rFonts w:hint="default" w:ascii="仿宋_GB2312" w:hAnsi="Calibri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定期召开金融工作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会议，督促不良主贷银行落实风险化解主体责任，持续压降不良贷款存量。重点关注中小金融机构风险，联合开展农商行不良资产清收处置集中行动，成立清收领导小组，制定详细化解方案，帮助农商银行做好风险化解。通过积极开展工作，全年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化解不良贷款1.84亿元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。截至2024年末，全县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不良贷款率2.18%，较年初下降0.3个百分点，不良风险平稳可控。</w:t>
      </w:r>
    </w:p>
    <w:p w14:paraId="1644FC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2024年全县财政平稳运行，决算情况总体较好，但还存在一些需要解决的问题：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财政收支矛盾压力加剧。一方面受</w:t>
      </w:r>
      <w:r>
        <w:rPr>
          <w:rFonts w:hint="eastAsia" w:ascii="仿宋_GB2312" w:hAnsi="Times New Roman" w:eastAsia="仿宋_GB2312" w:cs="仿宋_GB2312"/>
          <w:sz w:val="32"/>
          <w:szCs w:val="32"/>
        </w:rPr>
        <w:t>重点税源依靠</w:t>
      </w:r>
      <w:r>
        <w:rPr>
          <w:rFonts w:ascii="仿宋_GB2312" w:hAnsi="Times New Roman" w:eastAsia="仿宋_GB2312" w:cs="仿宋_GB2312"/>
          <w:sz w:val="32"/>
          <w:szCs w:val="32"/>
        </w:rPr>
        <w:t>煤矿</w:t>
      </w:r>
      <w:r>
        <w:rPr>
          <w:rFonts w:hint="eastAsia" w:ascii="仿宋_GB2312" w:hAnsi="Times New Roman" w:eastAsia="仿宋_GB2312" w:cs="仿宋_GB2312"/>
          <w:sz w:val="32"/>
          <w:szCs w:val="32"/>
        </w:rPr>
        <w:t>减收严重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Times New Roman" w:eastAsia="仿宋_GB2312" w:cs="仿宋_GB2312"/>
          <w:sz w:val="32"/>
          <w:szCs w:val="32"/>
        </w:rPr>
        <w:t>房地产和建筑业市场低迷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Times New Roman" w:eastAsia="仿宋_GB2312" w:cs="仿宋_GB2312"/>
          <w:sz w:val="32"/>
          <w:szCs w:val="32"/>
        </w:rPr>
        <w:t>非税收入来源匮乏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等因素影响，财政增收压力大；另一方面刚性支出不断增加，“三保”支出压力空前加剧。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债务包袱重还本付息压力大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。一方面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债务存量大、还本付息集中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2024年共计偿还专项债券到期本息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eastAsia="zh-CN"/>
        </w:rPr>
        <w:t>9.98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亿元，2025年预计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偿还专项债券到期本息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"/>
        </w:rPr>
        <w:t>5.29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亿元；另一方面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债券项目进度慢，债券税收转化效率较低，未能形成撬动我县经济发展的杠杆力量。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预算管理改革有待进一步深化，支出标准化管理、财政重点绩效评价结果应用、零基预算改革等还有待加强。面对上述问题，县政府高度重视，采取有力措施进行解决。</w:t>
      </w:r>
    </w:p>
    <w:p w14:paraId="6AAF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二、2025年上半年预算执行情况</w:t>
      </w:r>
    </w:p>
    <w:p w14:paraId="3380F725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一般公共预算收支情况</w:t>
      </w:r>
    </w:p>
    <w:p w14:paraId="54EB6596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2025年上半年，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全县一般公共预算收入完成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205328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万元，完成全年预算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378209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54.3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%，比上年同期增长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1.3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%。其中税收收入完成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127236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万元,完成年初预算的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62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下降2.3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%;非税收入完成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78092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万元,完成年初预算的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57.8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增长7.8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%。全县一般公共预算支出累计完成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353543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万元，完成年度预算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753110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46.9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增长18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.5%，其中民生支出完成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298018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万元，占一般公共预算支出的8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4.3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</w:t>
      </w:r>
    </w:p>
    <w:p w14:paraId="5854593C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auto"/>
          <w:kern w:val="0"/>
          <w:sz w:val="32"/>
          <w:szCs w:val="32"/>
          <w:lang w:val="en-US" w:eastAsia="zh-CN" w:bidi="ar"/>
        </w:rPr>
        <w:t>政府性基金收支情况</w:t>
      </w:r>
    </w:p>
    <w:p w14:paraId="547C80DC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2025年上半年，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全县政府性基金收入完成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49746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万元，完成年初预算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184099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27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%，比上年同期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增长116.9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%，其中国有土地使用权出让收入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45121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增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收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28161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比上年同期增长166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%。政府性基金支出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168127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万元，完成年初预算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192184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87.5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比上年同期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增长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22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%。其中：国有土地使用权出让支出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65183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</w:rPr>
        <w:t>比上年同期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下降13.1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</w:t>
      </w:r>
    </w:p>
    <w:p w14:paraId="3E016EC1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国有资本经营收支情况</w:t>
      </w:r>
    </w:p>
    <w:p w14:paraId="4644B42F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5上半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年，全县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国有资本经营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收入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24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万元，上年结转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预计下半年国有资本经营收入4万元，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共计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32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万元。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将在2025下半年全部支出完毕，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全县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国有资本经营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收支实现平衡。</w:t>
      </w:r>
    </w:p>
    <w:p w14:paraId="58D07807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社会保险基金收支情况</w:t>
      </w:r>
    </w:p>
    <w:p w14:paraId="16932ABD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>2025年上半年，全县社会保险基金收入66005万元，完成年初预算139417万元的47.3%，比上年同期增长5.3%。社会保险基金支出62899万元，占年初预算127203万元的49.4%，比上年同期增长11.3%。</w:t>
      </w:r>
    </w:p>
    <w:p w14:paraId="07C2D369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经批准举借债务情况</w:t>
      </w:r>
    </w:p>
    <w:p w14:paraId="5A1E8A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截至2025年上半年，全县政府债务余额1400613万元。其中：一般债务余额66683万元，专项债务余额1333930万元。</w:t>
      </w:r>
    </w:p>
    <w:p w14:paraId="64E857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面对复杂严峻的经济财政形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势，县财政部门认真执行县十九届人大四次会议决议精神，统筹财力促发展、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保稳定、惠民生、防风险，扎实推动全县经济社会高质量发展。主要做了以下工作：</w:t>
      </w:r>
    </w:p>
    <w:p w14:paraId="5C76AC5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一是坚持抓收入、争资源，确保财政运行稳定。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财政部门靠前站位，多措并举抓开源、促节流，稳定财政运行。建立财政运行常态化分析机制，进一步强化收入调度和分析研判，经过各方共同努力，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2025年上半年一般公共预算收入完成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" w:bidi="ar"/>
        </w:rPr>
        <w:t>205328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" w:bidi="ar"/>
        </w:rPr>
        <w:t>1.3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%。同时，我们持续加大对上争取力度，上半年争取上级转移支付资金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" w:bidi="ar"/>
        </w:rPr>
        <w:t>31.85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亿元，争取新增地方政府专项债券额度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" w:bidi="ar"/>
        </w:rPr>
        <w:t>8.65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亿元，为推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动全县经济社会高质量发展提供坚实保障。</w:t>
      </w:r>
    </w:p>
    <w:p w14:paraId="1E5C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二是坚持兜底线、固底板，切实保障和改善民生。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能省尽省、能压尽压，把牢预算编制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关口、财政评审关口、绩效评价关口，调整财政支出结构，集中财力保重点、保民生，有力推动民生实事顺利完成。民生投入力度只增不减，上半年，全县实现民生支出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" w:bidi="ar"/>
        </w:rPr>
        <w:t>298018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万元，占一般公共预算支出的8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" w:bidi="ar"/>
        </w:rPr>
        <w:t>4.3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促进高质量充分就业，支持重点群体，提升就业服务和职业技能培训水平；加快推进学前教育普及普惠，提高义务教育公用经费保障水平，助推高中改革发展，持续改善办学条件。进一步提高社会保障待遇水平，9类困难群众救助保障标准再提高，低收入群体基本生活得到有效保障。</w:t>
      </w:r>
    </w:p>
    <w:p w14:paraId="2DD38BC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hint="default" w:ascii="仿宋_GB2312" w:hAns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三是坚持促改革、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" w:bidi="ar"/>
        </w:rPr>
        <w:t>增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效益，提升财政管理水平。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进一步实施预算绩效管理改革，争取到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"/>
        </w:rPr>
        <w:t>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财政科学管理试点县，承担加强预算绩效管理试点任务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借鉴省财政厅“末位淘汰制”工作经验，制定出台了《巨野县县级财政项目支出绩效评价末位淘汰制实施细则（试行）》，组织各部门按实施细则开展相关工作，加强绩效评价结果应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用。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lang w:val="en-US" w:eastAsia="zh-CN"/>
        </w:rPr>
        <w:t>开展国资国企改革，推动国资监管信息平台建设，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提升企业运用信息化手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段加强内部风险管控能力，大幅度提高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国企管理工作透明化水平。全面深化县属国有企业监事会改革，取消国有独资、全资及控股企业监事会和监事，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目前整改成功21家，10家公司正在整改中，改革工作稳步进行中。</w:t>
      </w:r>
    </w:p>
    <w:p w14:paraId="3A47D90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四是坚持化存量、遏增量，守牢风险防控底线。</w:t>
      </w:r>
      <w:bookmarkStart w:id="0" w:name="OLE_LINK118"/>
      <w:bookmarkStart w:id="1" w:name="OLE_LINK117"/>
      <w:r>
        <w:rPr>
          <w:rFonts w:hint="default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2025年上半年偿还</w:t>
      </w: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专项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债券本息3.4亿元，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" w:bidi="ar"/>
        </w:rPr>
        <w:t>发行置换债券置换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隐性债务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" w:bidi="ar"/>
        </w:rPr>
        <w:t>9.74亿元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7%以上城投高息债务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"/>
        </w:rPr>
        <w:t>全部清偿，未出现债务逾期风险。坚决剥离融资平台及城投公司的政府融资功能，厘清政企边界，推动融资平台及城</w:t>
      </w:r>
      <w:bookmarkStart w:id="3" w:name="_GoBack"/>
      <w:bookmarkEnd w:id="3"/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"/>
        </w:rPr>
        <w:t>投公司加快构建现代企业制度，完善企业治理机制，稳妥有序推动实体化转型。严格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落实城投公司举债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"/>
        </w:rPr>
        <w:t>融资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提级管理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"/>
        </w:rPr>
        <w:t>机制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，</w:t>
      </w:r>
      <w:bookmarkEnd w:id="0"/>
      <w:bookmarkEnd w:id="1"/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"/>
        </w:rPr>
        <w:t>出台《巨野县城投公司举债融资提级管理办法》，</w:t>
      </w:r>
      <w:r>
        <w:rPr>
          <w:rFonts w:hint="eastAsia" w:ascii="仿宋_GB2312" w:eastAsia="仿宋_GB2312"/>
          <w:sz w:val="32"/>
          <w:szCs w:val="32"/>
          <w:lang w:eastAsia="zh-CN"/>
        </w:rPr>
        <w:t>规范城投债举借前置审批</w:t>
      </w:r>
      <w:bookmarkStart w:id="2" w:name="OLE_LINK6"/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，</w:t>
      </w:r>
      <w:bookmarkEnd w:id="2"/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"/>
        </w:rPr>
        <w:t>明确要求城投公司的债务还款计划、年度融资计划须报上级党委、政府批准，坚决防止一边化债、一边新增，确保债务总量逐步下降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。</w:t>
      </w:r>
    </w:p>
    <w:p w14:paraId="3F7C73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下半年财政工作重点和措施</w:t>
      </w:r>
    </w:p>
    <w:p w14:paraId="4B132B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总的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来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看，上半年全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财政运行总体平稳，但也存在一些不容</w:t>
      </w:r>
    </w:p>
    <w:p w14:paraId="67F9B3F8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napToGrid/>
        <w:spacing w:line="600" w:lineRule="exact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忽视的问题，需要付出更大努力。今年上半年，山东省人民政府印发了《山东省人民政府关于推进财政科学管理的意见》（鲁政发〔2025〕8号），我们将以学习贯彻文件精神为契机，持续、主动、全面抓好各项决策部署的落实，确保圆满完成全年工作任务。</w:t>
      </w:r>
    </w:p>
    <w:p w14:paraId="200A3D89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topLinePunct w:val="0"/>
        <w:bidi w:val="0"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pacing w:val="7"/>
          <w:sz w:val="32"/>
          <w:szCs w:val="32"/>
        </w:rPr>
        <w:t>健全“大预算”体系，增强财政保障能力</w:t>
      </w:r>
      <w:r>
        <w:rPr>
          <w:rFonts w:hint="eastAsia" w:ascii="楷体_GB2312" w:hAnsi="楷体_GB2312" w:cs="楷体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深入推进全口径、一体化预算管理，将一般公共预算、政府性基金预算、国有资本经营预算、社会保险基金预算与政府债务预算（计划）同步编制、统筹管理。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加大存量资金统筹力度，加大当年预算和结转资金统筹调剂力度。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  <w:lang w:val="en-US" w:eastAsia="zh-CN"/>
        </w:rPr>
        <w:t>加大资产盘活力度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，最大程度挖潜增效。探索实施零基预算改革，打破传统观念，从零开始编制预算，坚决向支出固化“开刀”。建立财政承受能力评估制度，对拟出台的政策、建设的项目，严格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开展事前绩效评估和预算评审。</w:t>
      </w:r>
    </w:p>
    <w:p w14:paraId="08DD944B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topLinePunct w:val="0"/>
        <w:bidi w:val="0"/>
        <w:snapToGrid/>
        <w:spacing w:line="600" w:lineRule="exact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突出“大绩效”导向，提升管理综合效能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优化预算绩效管理体系，建立“聚焦核心”的绩效管理机制。健全重大财政支出政策事前绩效评估机制，推动事前绩效评估实质性嵌入政策决策。完善绩效评价结果应用机制，优化绩效评价“末位淘汰制”，推动绩效评价结果与预算安排有效衔接。聚焦核心绩效指标，健全重大政策、转移支付和政府投资项目绩效管理模式，完善绩效运行监控机制，提高评价质效。</w:t>
      </w:r>
    </w:p>
    <w:p w14:paraId="0892F8B6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topLinePunct w:val="0"/>
        <w:bidi w:val="0"/>
        <w:snapToGrid/>
        <w:spacing w:line="600" w:lineRule="exact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构建“大安全”格局，保障财政平稳运行</w:t>
      </w:r>
      <w:r>
        <w:rPr>
          <w:rFonts w:hint="eastAsia" w:ascii="楷体_GB2312" w:hAnsi="楷体_GB2312" w:cs="楷体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建立“防得住风险、经得起冲击”的财政安全治理体系，守牢“三个底线”。严格“三保”预算编制审核，优先使用稳定可靠的经常性财力足额安排“三保”预算，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强化“三保”运行监测预警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守牢债务风险底线，</w:t>
      </w:r>
      <w:r>
        <w:rPr>
          <w:rFonts w:hint="eastAsia" w:ascii="仿宋_GB2312" w:hAnsi="楷体_GB2312" w:eastAsia="仿宋_GB2312" w:cs="楷体_GB2312"/>
          <w:sz w:val="32"/>
          <w:szCs w:val="32"/>
        </w:rPr>
        <w:t>严格落实债券偿还资金来源，保证按时偿还到期债券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一揽子化债方案，加快推动隐性债务清零，推进融资平台改革转型。守牢财政基础管理底线，严肃财经纪律，聚焦“三保”、化债、政府采购等重点领域，加强基础管理制度落实情况监督，严厉查处、重点整治违法违规问题，让财经纪律真正成为不可触碰的“高压线”。</w:t>
      </w:r>
    </w:p>
    <w:p w14:paraId="3C429B2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主任、</w:t>
      </w:r>
      <w:r>
        <w:rPr>
          <w:rFonts w:hint="eastAsia" w:ascii="仿宋_GB2312" w:hAnsi="宋体" w:eastAsia="仿宋_GB2312"/>
          <w:sz w:val="32"/>
          <w:lang w:val="en-US" w:eastAsia="zh-CN"/>
        </w:rPr>
        <w:t>各位</w:t>
      </w:r>
      <w:r>
        <w:rPr>
          <w:rFonts w:hint="eastAsia" w:ascii="仿宋_GB2312" w:hAnsi="宋体" w:eastAsia="仿宋_GB2312"/>
          <w:sz w:val="32"/>
        </w:rPr>
        <w:t>副主任、各位委员</w:t>
      </w:r>
      <w:r>
        <w:rPr>
          <w:rFonts w:hint="eastAsia" w:ascii="仿宋_GB2312" w:hAnsi="宋体" w:eastAsia="仿宋_GB2312"/>
          <w:sz w:val="32"/>
          <w:lang w:eastAsia="zh-CN"/>
        </w:rPr>
        <w:t>，做好202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lang w:eastAsia="zh-CN"/>
        </w:rPr>
        <w:t>年财政工作任务艰巨、意义重大，我们将在</w:t>
      </w:r>
      <w:r>
        <w:rPr>
          <w:rFonts w:hint="eastAsia" w:ascii="仿宋_GB2312" w:hAnsi="宋体" w:eastAsia="仿宋_GB2312"/>
          <w:sz w:val="32"/>
          <w:lang w:val="en-US" w:eastAsia="zh-CN"/>
        </w:rPr>
        <w:t>县</w:t>
      </w:r>
      <w:r>
        <w:rPr>
          <w:rFonts w:hint="eastAsia" w:ascii="仿宋_GB2312" w:hAnsi="宋体" w:eastAsia="仿宋_GB2312"/>
          <w:sz w:val="32"/>
          <w:lang w:eastAsia="zh-CN"/>
        </w:rPr>
        <w:t>委坚强领导和</w:t>
      </w:r>
      <w:r>
        <w:rPr>
          <w:rFonts w:hint="eastAsia" w:ascii="仿宋_GB2312" w:hAnsi="宋体" w:eastAsia="仿宋_GB2312"/>
          <w:sz w:val="32"/>
          <w:lang w:val="en-US" w:eastAsia="zh-CN"/>
        </w:rPr>
        <w:t>县</w:t>
      </w:r>
      <w:r>
        <w:rPr>
          <w:rFonts w:hint="eastAsia" w:ascii="仿宋_GB2312" w:hAnsi="宋体" w:eastAsia="仿宋_GB2312"/>
          <w:sz w:val="32"/>
          <w:lang w:eastAsia="zh-CN"/>
        </w:rPr>
        <w:t>人大及其常委会的监督和指导下，认真落实本次会议</w:t>
      </w:r>
      <w:r>
        <w:rPr>
          <w:rFonts w:hint="eastAsia" w:ascii="仿宋_GB2312" w:hAnsi="宋体" w:eastAsia="仿宋_GB2312"/>
          <w:sz w:val="32"/>
          <w:lang w:val="en-US" w:eastAsia="zh-CN"/>
        </w:rPr>
        <w:t>审议</w:t>
      </w:r>
      <w:r>
        <w:rPr>
          <w:rFonts w:hint="eastAsia" w:ascii="仿宋_GB2312" w:hAnsi="宋体" w:eastAsia="仿宋_GB2312"/>
          <w:sz w:val="32"/>
          <w:lang w:eastAsia="zh-CN"/>
        </w:rPr>
        <w:t>意见，继续扎实做好各项工作，为全</w:t>
      </w:r>
      <w:r>
        <w:rPr>
          <w:rFonts w:hint="eastAsia" w:ascii="仿宋_GB2312" w:hAnsi="宋体" w:eastAsia="仿宋_GB2312"/>
          <w:sz w:val="32"/>
          <w:lang w:val="en-US" w:eastAsia="zh-CN"/>
        </w:rPr>
        <w:t>县</w:t>
      </w:r>
      <w:r>
        <w:rPr>
          <w:rFonts w:hint="eastAsia" w:ascii="仿宋_GB2312" w:hAnsi="宋体" w:eastAsia="仿宋_GB2312"/>
          <w:sz w:val="32"/>
          <w:lang w:eastAsia="zh-CN"/>
        </w:rPr>
        <w:t>经济社会发展做出新的更大贡献。</w:t>
      </w:r>
    </w:p>
    <w:p w14:paraId="5E8843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600" w:lineRule="exac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</w:p>
    <w:p w14:paraId="40956702"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9EBC312"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FD4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D38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D38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922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480E2"/>
    <w:multiLevelType w:val="singleLevel"/>
    <w:tmpl w:val="F8B480E2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color w:val="auto"/>
        <w:sz w:val="32"/>
        <w:szCs w:val="32"/>
      </w:rPr>
    </w:lvl>
  </w:abstractNum>
  <w:abstractNum w:abstractNumId="1">
    <w:nsid w:val="52523B82"/>
    <w:multiLevelType w:val="singleLevel"/>
    <w:tmpl w:val="52523B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373AFD"/>
    <w:multiLevelType w:val="singleLevel"/>
    <w:tmpl w:val="60373AFD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3">
    <w:nsid w:val="65A19858"/>
    <w:multiLevelType w:val="singleLevel"/>
    <w:tmpl w:val="65A19858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2DFC"/>
    <w:rsid w:val="026E2AF7"/>
    <w:rsid w:val="096C655B"/>
    <w:rsid w:val="0D4C292E"/>
    <w:rsid w:val="0D857BEE"/>
    <w:rsid w:val="12B40CCF"/>
    <w:rsid w:val="13787D1A"/>
    <w:rsid w:val="153A2190"/>
    <w:rsid w:val="157D3325"/>
    <w:rsid w:val="16053E35"/>
    <w:rsid w:val="16922E00"/>
    <w:rsid w:val="17222FFB"/>
    <w:rsid w:val="177C760C"/>
    <w:rsid w:val="17B9FDD3"/>
    <w:rsid w:val="18B71F74"/>
    <w:rsid w:val="1A3409D2"/>
    <w:rsid w:val="1A8B2040"/>
    <w:rsid w:val="1B7AB918"/>
    <w:rsid w:val="1D3F5364"/>
    <w:rsid w:val="1DFF69F7"/>
    <w:rsid w:val="1F113113"/>
    <w:rsid w:val="213F4438"/>
    <w:rsid w:val="2446522A"/>
    <w:rsid w:val="24F63A5D"/>
    <w:rsid w:val="251B66B7"/>
    <w:rsid w:val="252F1CAC"/>
    <w:rsid w:val="267B5713"/>
    <w:rsid w:val="2957171C"/>
    <w:rsid w:val="2B0049F0"/>
    <w:rsid w:val="2B212DFC"/>
    <w:rsid w:val="2DE1469B"/>
    <w:rsid w:val="2FFF15C6"/>
    <w:rsid w:val="304E16EE"/>
    <w:rsid w:val="31C86712"/>
    <w:rsid w:val="31EC798D"/>
    <w:rsid w:val="323629ED"/>
    <w:rsid w:val="33CB2712"/>
    <w:rsid w:val="33EA433A"/>
    <w:rsid w:val="34A63039"/>
    <w:rsid w:val="354F45F5"/>
    <w:rsid w:val="35D03547"/>
    <w:rsid w:val="35E5668A"/>
    <w:rsid w:val="37B393D3"/>
    <w:rsid w:val="37EE3FBD"/>
    <w:rsid w:val="389C0A0B"/>
    <w:rsid w:val="399351AE"/>
    <w:rsid w:val="39FD734E"/>
    <w:rsid w:val="3BDF77DE"/>
    <w:rsid w:val="3D7E0033"/>
    <w:rsid w:val="3D7F84D6"/>
    <w:rsid w:val="3DFBC8E2"/>
    <w:rsid w:val="3DFF644C"/>
    <w:rsid w:val="3E4203B8"/>
    <w:rsid w:val="3FB7AFCC"/>
    <w:rsid w:val="3FDF26B4"/>
    <w:rsid w:val="3FEE51D5"/>
    <w:rsid w:val="3FF4638A"/>
    <w:rsid w:val="3FFCD9AD"/>
    <w:rsid w:val="3FFF31D4"/>
    <w:rsid w:val="3FFF5DD7"/>
    <w:rsid w:val="413C623B"/>
    <w:rsid w:val="43306D43"/>
    <w:rsid w:val="43CF6B92"/>
    <w:rsid w:val="473F431B"/>
    <w:rsid w:val="4A3B0ADD"/>
    <w:rsid w:val="4A5C2802"/>
    <w:rsid w:val="4C353FB2"/>
    <w:rsid w:val="4CD11285"/>
    <w:rsid w:val="4F6C418F"/>
    <w:rsid w:val="516F9C8F"/>
    <w:rsid w:val="517FA6A4"/>
    <w:rsid w:val="529B480F"/>
    <w:rsid w:val="535B9131"/>
    <w:rsid w:val="54E0475B"/>
    <w:rsid w:val="56C76934"/>
    <w:rsid w:val="57F71771"/>
    <w:rsid w:val="58F76517"/>
    <w:rsid w:val="5B48305A"/>
    <w:rsid w:val="5B6C52FC"/>
    <w:rsid w:val="5BC8201E"/>
    <w:rsid w:val="5CDF0C9C"/>
    <w:rsid w:val="5DAC7F54"/>
    <w:rsid w:val="5E7FFB7C"/>
    <w:rsid w:val="5F5E5D85"/>
    <w:rsid w:val="5FAE4DA6"/>
    <w:rsid w:val="5FDF3ACA"/>
    <w:rsid w:val="6105554A"/>
    <w:rsid w:val="6117523A"/>
    <w:rsid w:val="613ADED1"/>
    <w:rsid w:val="62BC7E8A"/>
    <w:rsid w:val="649B4AC0"/>
    <w:rsid w:val="65055B18"/>
    <w:rsid w:val="65AF6DA2"/>
    <w:rsid w:val="65EEF9B2"/>
    <w:rsid w:val="666A0329"/>
    <w:rsid w:val="66905544"/>
    <w:rsid w:val="67714376"/>
    <w:rsid w:val="67E74DBC"/>
    <w:rsid w:val="6A95793E"/>
    <w:rsid w:val="6C380ECF"/>
    <w:rsid w:val="6C5F57ED"/>
    <w:rsid w:val="6DD77565"/>
    <w:rsid w:val="6DFE7909"/>
    <w:rsid w:val="6E7F9D84"/>
    <w:rsid w:val="6ED92A6B"/>
    <w:rsid w:val="6F88053A"/>
    <w:rsid w:val="6FCF1651"/>
    <w:rsid w:val="6FED25CE"/>
    <w:rsid w:val="716F0EE9"/>
    <w:rsid w:val="71A57E31"/>
    <w:rsid w:val="72BE0B9D"/>
    <w:rsid w:val="738A025C"/>
    <w:rsid w:val="73CA0F4C"/>
    <w:rsid w:val="741D7E6F"/>
    <w:rsid w:val="75F7FC62"/>
    <w:rsid w:val="766DD770"/>
    <w:rsid w:val="76911902"/>
    <w:rsid w:val="76EB9E5F"/>
    <w:rsid w:val="76F3AC89"/>
    <w:rsid w:val="77B599C4"/>
    <w:rsid w:val="79DE59CF"/>
    <w:rsid w:val="7A482777"/>
    <w:rsid w:val="7BEBBA9E"/>
    <w:rsid w:val="7CF37482"/>
    <w:rsid w:val="7D8175CD"/>
    <w:rsid w:val="7D93BEDC"/>
    <w:rsid w:val="7DDEDEC9"/>
    <w:rsid w:val="7EEF9C4B"/>
    <w:rsid w:val="7EEFA604"/>
    <w:rsid w:val="7F5F2380"/>
    <w:rsid w:val="7F71D283"/>
    <w:rsid w:val="7FAE1819"/>
    <w:rsid w:val="7FBF2279"/>
    <w:rsid w:val="7FCF1326"/>
    <w:rsid w:val="7FED90DB"/>
    <w:rsid w:val="7FEE8B3C"/>
    <w:rsid w:val="7FEF0D23"/>
    <w:rsid w:val="7FEF4A4D"/>
    <w:rsid w:val="7FEFBD35"/>
    <w:rsid w:val="7FF25ADD"/>
    <w:rsid w:val="7FFB16E2"/>
    <w:rsid w:val="7FFF8614"/>
    <w:rsid w:val="8FF15A27"/>
    <w:rsid w:val="95FFDE7E"/>
    <w:rsid w:val="96FDD8B1"/>
    <w:rsid w:val="977ED534"/>
    <w:rsid w:val="9DF61F6D"/>
    <w:rsid w:val="A7FF69D6"/>
    <w:rsid w:val="AF57D8EE"/>
    <w:rsid w:val="BDBF126F"/>
    <w:rsid w:val="BEDEC648"/>
    <w:rsid w:val="BEF903FF"/>
    <w:rsid w:val="BF2FDA73"/>
    <w:rsid w:val="BFE5F20A"/>
    <w:rsid w:val="CBFFC043"/>
    <w:rsid w:val="CF1FBEC8"/>
    <w:rsid w:val="CF3F9E0B"/>
    <w:rsid w:val="D3DB53FB"/>
    <w:rsid w:val="D7BE4FA2"/>
    <w:rsid w:val="D7F2F240"/>
    <w:rsid w:val="DBD7B120"/>
    <w:rsid w:val="DBFD2174"/>
    <w:rsid w:val="DDE786CC"/>
    <w:rsid w:val="DDF15DBB"/>
    <w:rsid w:val="DEFDA820"/>
    <w:rsid w:val="DFD6DBF0"/>
    <w:rsid w:val="DFFDDB05"/>
    <w:rsid w:val="E2BABC0F"/>
    <w:rsid w:val="E7BBD12C"/>
    <w:rsid w:val="EDDF3D76"/>
    <w:rsid w:val="EE8F59CE"/>
    <w:rsid w:val="EFBC4BBB"/>
    <w:rsid w:val="F3BE31B2"/>
    <w:rsid w:val="F5F5364B"/>
    <w:rsid w:val="F66AB8EE"/>
    <w:rsid w:val="F6794E15"/>
    <w:rsid w:val="F67CB4F8"/>
    <w:rsid w:val="F6BD3F12"/>
    <w:rsid w:val="F79EBD7F"/>
    <w:rsid w:val="F7E45DBF"/>
    <w:rsid w:val="FB7FDDFC"/>
    <w:rsid w:val="FBDB35A5"/>
    <w:rsid w:val="FCFF9AFE"/>
    <w:rsid w:val="FD2D0BF6"/>
    <w:rsid w:val="FD7EEED8"/>
    <w:rsid w:val="FDE7D5C5"/>
    <w:rsid w:val="FDFF319A"/>
    <w:rsid w:val="FEBF6FE8"/>
    <w:rsid w:val="FEDF711A"/>
    <w:rsid w:val="FEEAF7C6"/>
    <w:rsid w:val="FEEF86A0"/>
    <w:rsid w:val="FEF1BEE7"/>
    <w:rsid w:val="FF6E11AD"/>
    <w:rsid w:val="FF7CE462"/>
    <w:rsid w:val="FF7F873B"/>
    <w:rsid w:val="FF7FC6DF"/>
    <w:rsid w:val="FFADE1DD"/>
    <w:rsid w:val="FFED3CE7"/>
    <w:rsid w:val="FFEFC750"/>
    <w:rsid w:val="FFF7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UserStyle_0"/>
    <w:basedOn w:val="1"/>
    <w:qFormat/>
    <w:uiPriority w:val="0"/>
    <w:pPr>
      <w:widowControl/>
      <w:suppressAutoHyphens/>
      <w:overflowPunct w:val="0"/>
      <w:autoSpaceDE w:val="0"/>
      <w:autoSpaceDN w:val="0"/>
      <w:adjustRightInd w:val="0"/>
      <w:spacing w:line="660" w:lineRule="exact"/>
      <w:ind w:firstLine="720" w:firstLineChars="200"/>
      <w:textAlignment w:val="baseline"/>
    </w:pPr>
    <w:rPr>
      <w:rFonts w:ascii="Times New Roman" w:hAnsi="Times New Roman"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4946</Words>
  <Characters>5555</Characters>
  <Lines>1</Lines>
  <Paragraphs>1</Paragraphs>
  <TotalTime>8</TotalTime>
  <ScaleCrop>false</ScaleCrop>
  <LinksUpToDate>false</LinksUpToDate>
  <CharactersWithSpaces>5557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2025-07-18T03:41:00Z</dcterms:created>
  <dc:creator>清石</dc:creator>
  <cp:lastModifiedBy>清石</cp:lastModifiedBy>
  <cp:lastPrinted>2025-07-29T01:01:00Z</cp:lastPrinted>
  <dcterms:modified xsi:type="dcterms:W3CDTF">2025-08-12T11:59:35Z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2974D2D0DC7A48C69D25FA8915118F7C_13</vt:lpwstr>
  </property>
  <property fmtid="{D5CDD505-2E9C-101B-9397-08002B2CF9AE}" pid="4" name="KSOTemplateDocerSaveRecord">
    <vt:lpwstr>eyJoZGlkIjoiMjYwYTkxYTUwNmUwZmRlMGRiMTMwMDk3N2ExOGJiMzMiLCJ1c2VySWQiOiI1NzQzMTk2MjMifQ==</vt:lpwstr>
  </property>
</Properties>
</file>