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19" w:rsidRDefault="00E47A35">
      <w:pPr>
        <w:spacing w:before="11"/>
        <w:ind w:left="2055" w:right="2055"/>
        <w:jc w:val="center"/>
        <w:rPr>
          <w:rFonts w:ascii="黑体" w:eastAsia="黑体"/>
          <w:sz w:val="44"/>
        </w:rPr>
      </w:pPr>
      <w:bookmarkStart w:id="0" w:name="_GoBack"/>
      <w:bookmarkEnd w:id="0"/>
      <w:r>
        <w:rPr>
          <w:rFonts w:ascii="黑体" w:eastAsia="黑体" w:hint="eastAsia"/>
          <w:sz w:val="44"/>
        </w:rPr>
        <w:t>决算公开主要名词解释</w:t>
      </w:r>
    </w:p>
    <w:p w:rsidR="00923219" w:rsidRDefault="00923219">
      <w:pPr>
        <w:pStyle w:val="a3"/>
        <w:spacing w:line="360" w:lineRule="auto"/>
        <w:ind w:left="0" w:right="0" w:firstLineChars="200"/>
        <w:jc w:val="left"/>
        <w:rPr>
          <w:rFonts w:ascii="仿宋_GB2312" w:eastAsia="仿宋_GB2312" w:hAnsi="仿宋_GB2312" w:cs="仿宋_GB2312"/>
        </w:rPr>
      </w:pP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lang w:val="en-US" w:bidi="ar"/>
        </w:rPr>
        <w:t>1、一般公共预算：</w:t>
      </w:r>
      <w:r>
        <w:rPr>
          <w:rFonts w:ascii="仿宋_GB2312" w:eastAsia="仿宋_GB2312" w:hAnsi="仿宋_GB2312" w:cs="仿宋_GB2312" w:hint="eastAsia"/>
          <w:color w:val="000000"/>
          <w:sz w:val="32"/>
          <w:szCs w:val="32"/>
          <w:lang w:val="en-US" w:bidi="ar"/>
        </w:rPr>
        <w:t>原公共财政预算，按照新《预算法》要求，更名为一般公共预算。是指政府凭借国家政治权力，以社会管理者身份筹集以税收为主体的财政收入，用于保障和改善民生、维持国家行政职能正常行使、保障国家安全等方面的收支预算。一般公共预算收入预算包括：地方本级预算收入、转移性收入、调入预算稳定调节基金、地方政府债券收入和上年结余收入。一般公共预算支出预算编制内容包括地方本级预算支出、转移性支出、地方政府债券还本支出、安排预算稳定调节基金、增设预算周转金和年末累计结余。</w:t>
      </w: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lang w:val="en-US" w:bidi="ar"/>
        </w:rPr>
        <w:t>2、政府性基金预算：</w:t>
      </w:r>
      <w:r>
        <w:rPr>
          <w:rFonts w:ascii="仿宋_GB2312" w:eastAsia="仿宋_GB2312" w:hAnsi="仿宋_GB2312" w:cs="仿宋_GB2312" w:hint="eastAsia"/>
          <w:color w:val="000000"/>
          <w:sz w:val="32"/>
          <w:szCs w:val="32"/>
          <w:lang w:val="en-US" w:bidi="ar"/>
        </w:rPr>
        <w:t>指政府通过向社会征收基金、收费，以及出让土地、发行彩票等方式取得收入，专项用于支持特定基础设施建设和社会事业发展等方面的收支预算。地方政府性基金收入预算编制内容包括地方本级收入、转移性收入和上年结余收入。地方政府性基金支出预算编制内容包括地方本级支出、转移性支出、年末累计结余。</w:t>
      </w: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lang w:val="en-US" w:bidi="ar"/>
        </w:rPr>
        <w:t>3、国有资本经营预算：</w:t>
      </w:r>
      <w:r>
        <w:rPr>
          <w:rFonts w:ascii="仿宋_GB2312" w:eastAsia="仿宋_GB2312" w:hAnsi="仿宋_GB2312" w:cs="仿宋_GB2312" w:hint="eastAsia"/>
          <w:color w:val="000000"/>
          <w:sz w:val="32"/>
          <w:szCs w:val="32"/>
          <w:lang w:val="en-US" w:bidi="ar"/>
        </w:rPr>
        <w:t>国有资本经营预算，是指国家以所有者身份依法取得国有资本收益，并对所得收益进行分配而发生的各项收支预算，是政府预算的重要组成部分。</w:t>
      </w: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lang w:val="en-US" w:bidi="ar"/>
        </w:rPr>
        <w:t>4、社会保险基金预算：</w:t>
      </w:r>
      <w:r>
        <w:rPr>
          <w:rFonts w:ascii="仿宋_GB2312" w:eastAsia="仿宋_GB2312" w:hAnsi="仿宋_GB2312" w:cs="仿宋_GB2312" w:hint="eastAsia"/>
          <w:color w:val="000000"/>
          <w:sz w:val="32"/>
          <w:szCs w:val="32"/>
          <w:lang w:val="en-US" w:bidi="ar"/>
        </w:rPr>
        <w:t>社会保险基金预算是根据《中华人民共和国预算法》、《中华人民共和国社会保险法》等法律法规建立、按规定程序审批通过、反映各项社会保险基金收支的年度计划。</w:t>
      </w:r>
    </w:p>
    <w:p w:rsidR="00923219" w:rsidRDefault="00E47A35">
      <w:pPr>
        <w:widowControl/>
        <w:spacing w:line="360" w:lineRule="auto"/>
        <w:ind w:firstLineChars="200" w:firstLine="643"/>
        <w:rPr>
          <w:rFonts w:ascii="仿宋_GB2312" w:eastAsia="仿宋_GB2312" w:hAnsi="仿宋_GB2312" w:cs="仿宋_GB2312"/>
          <w:b/>
          <w:color w:val="000000"/>
          <w:sz w:val="32"/>
          <w:szCs w:val="32"/>
          <w:lang w:val="en-US" w:bidi="ar"/>
        </w:rPr>
      </w:pPr>
      <w:r>
        <w:rPr>
          <w:rFonts w:ascii="仿宋_GB2312" w:eastAsia="仿宋_GB2312" w:hAnsi="仿宋_GB2312" w:cs="仿宋_GB2312" w:hint="eastAsia"/>
          <w:b/>
          <w:color w:val="000000"/>
          <w:sz w:val="32"/>
          <w:szCs w:val="32"/>
          <w:lang w:val="en-US" w:bidi="ar"/>
        </w:rPr>
        <w:lastRenderedPageBreak/>
        <w:t>5、转移支付制度：</w:t>
      </w:r>
      <w:r>
        <w:rPr>
          <w:rFonts w:ascii="仿宋_GB2312" w:eastAsia="仿宋_GB2312" w:hAnsi="仿宋_GB2312" w:cs="仿宋_GB2312" w:hint="eastAsia"/>
          <w:color w:val="000000"/>
          <w:sz w:val="32"/>
          <w:szCs w:val="32"/>
          <w:lang w:val="en-US" w:bidi="ar"/>
        </w:rPr>
        <w:t>是为了弥补财政实力薄弱地区的财力缺口，均衡地区间财力差距，实现地区间基本公共服务能力的均等化，由上级财政安排给下级财政的补助支出。可分为：中央对省、直辖市、自治区的转移支付制度，省、直辖市、自治区对下转移支付制度两个层次。现阶段，财政转移支付主要包括：返还性收入、一般性转移支付、专项转移支付等。</w:t>
      </w:r>
    </w:p>
    <w:p w:rsidR="00923219" w:rsidRDefault="00E47A35">
      <w:pPr>
        <w:widowControl/>
        <w:spacing w:line="360" w:lineRule="auto"/>
        <w:ind w:firstLineChars="200" w:firstLine="643"/>
        <w:rPr>
          <w:rFonts w:ascii="仿宋_GB2312" w:eastAsia="仿宋_GB2312" w:hAnsi="仿宋_GB2312" w:cs="仿宋_GB2312"/>
          <w:b/>
          <w:color w:val="000000"/>
          <w:sz w:val="32"/>
          <w:szCs w:val="32"/>
          <w:lang w:val="en-US" w:bidi="ar"/>
        </w:rPr>
      </w:pPr>
      <w:r>
        <w:rPr>
          <w:rFonts w:ascii="仿宋_GB2312" w:eastAsia="仿宋_GB2312" w:hAnsi="仿宋_GB2312" w:cs="仿宋_GB2312" w:hint="eastAsia"/>
          <w:b/>
          <w:color w:val="000000"/>
          <w:sz w:val="32"/>
          <w:szCs w:val="32"/>
          <w:lang w:val="en-US" w:bidi="ar"/>
        </w:rPr>
        <w:t>6、税收返还：</w:t>
      </w:r>
      <w:r>
        <w:rPr>
          <w:rFonts w:ascii="仿宋_GB2312" w:eastAsia="仿宋_GB2312" w:hAnsi="仿宋_GB2312" w:cs="仿宋_GB2312" w:hint="eastAsia"/>
          <w:color w:val="000000"/>
          <w:sz w:val="32"/>
          <w:szCs w:val="32"/>
          <w:lang w:val="en-US" w:bidi="ar"/>
        </w:rPr>
        <w:t>指1994年分税制改革和2002年所得税收入分享改革后，为保证地方既得利益，对原属于地方的收入划为中央收入部分，给予地方的补偿。包括增值税消费税“两税返还”、所得税基数返还、成品油价格和税费改革税收返还。</w:t>
      </w:r>
    </w:p>
    <w:p w:rsidR="00923219" w:rsidRDefault="00E47A35">
      <w:pPr>
        <w:pStyle w:val="a3"/>
        <w:spacing w:before="0" w:line="360" w:lineRule="auto"/>
        <w:ind w:left="0" w:right="223" w:firstLineChars="200" w:firstLine="643"/>
        <w:rPr>
          <w:rFonts w:ascii="仿宋_GB2312" w:eastAsia="仿宋_GB2312" w:hAnsi="仿宋_GB2312" w:cs="仿宋_GB2312"/>
        </w:rPr>
      </w:pPr>
      <w:r>
        <w:rPr>
          <w:rFonts w:ascii="仿宋_GB2312" w:eastAsia="仿宋_GB2312" w:hAnsi="仿宋_GB2312" w:cs="仿宋_GB2312" w:hint="eastAsia"/>
          <w:b/>
          <w:bCs/>
          <w:color w:val="000000"/>
          <w:lang w:val="en-US" w:bidi="ar"/>
        </w:rPr>
        <w:t>7、</w:t>
      </w:r>
      <w:r>
        <w:rPr>
          <w:rFonts w:ascii="仿宋_GB2312" w:eastAsia="仿宋_GB2312" w:hAnsi="仿宋_GB2312" w:cs="仿宋_GB2312" w:hint="eastAsia"/>
          <w:b/>
          <w:bCs/>
          <w:spacing w:val="-8"/>
        </w:rPr>
        <w:t>一般性转移支付：</w:t>
      </w:r>
      <w:r>
        <w:rPr>
          <w:rFonts w:ascii="仿宋_GB2312" w:eastAsia="仿宋_GB2312" w:hAnsi="仿宋_GB2312" w:cs="仿宋_GB2312" w:hint="eastAsia"/>
          <w:spacing w:val="-8"/>
        </w:rPr>
        <w:t>又称体制性转移支付，是指上级</w:t>
      </w:r>
      <w:r>
        <w:rPr>
          <w:rFonts w:ascii="仿宋_GB2312" w:eastAsia="仿宋_GB2312" w:hAnsi="仿宋_GB2312" w:cs="仿宋_GB2312" w:hint="eastAsia"/>
          <w:spacing w:val="4"/>
          <w:w w:val="95"/>
        </w:rPr>
        <w:t>政府根据依法核定的下级政府标准财政需要额与财政支出额的差量以及各地区间在人口、资源、贫富等方面存在的差别因素将其财政资金转作下级政府财政收入的一种补助</w:t>
      </w:r>
      <w:r>
        <w:rPr>
          <w:rFonts w:ascii="仿宋_GB2312" w:eastAsia="仿宋_GB2312" w:hAnsi="仿宋_GB2312" w:cs="仿宋_GB2312" w:hint="eastAsia"/>
        </w:rPr>
        <w:t>形式。</w:t>
      </w:r>
    </w:p>
    <w:p w:rsidR="00923219" w:rsidRDefault="00E47A35">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en-US" w:bidi="ar"/>
        </w:rPr>
        <w:t>8、</w:t>
      </w:r>
      <w:r>
        <w:rPr>
          <w:rFonts w:ascii="仿宋_GB2312" w:eastAsia="仿宋_GB2312" w:hAnsi="仿宋_GB2312" w:cs="仿宋_GB2312" w:hint="eastAsia"/>
          <w:b/>
          <w:color w:val="000000"/>
          <w:sz w:val="32"/>
          <w:szCs w:val="32"/>
          <w:lang w:val="en-US" w:bidi="ar"/>
        </w:rPr>
        <w:t>预算稳定调节基金：</w:t>
      </w:r>
      <w:r>
        <w:rPr>
          <w:rFonts w:ascii="仿宋_GB2312" w:eastAsia="仿宋_GB2312" w:hAnsi="仿宋_GB2312" w:cs="仿宋_GB2312" w:hint="eastAsia"/>
          <w:color w:val="000000"/>
          <w:sz w:val="32"/>
          <w:szCs w:val="32"/>
          <w:lang w:val="en-US" w:bidi="ar"/>
        </w:rPr>
        <w:t>指各级财政通过超收安排的具有储备性质的基金，用于弥补短收年份预算执行的收支缺口，以及</w:t>
      </w:r>
      <w:proofErr w:type="gramStart"/>
      <w:r>
        <w:rPr>
          <w:rFonts w:ascii="仿宋_GB2312" w:eastAsia="仿宋_GB2312" w:hAnsi="仿宋_GB2312" w:cs="仿宋_GB2312" w:hint="eastAsia"/>
          <w:color w:val="000000"/>
          <w:sz w:val="32"/>
          <w:szCs w:val="32"/>
          <w:lang w:val="en-US" w:bidi="ar"/>
        </w:rPr>
        <w:t>视预算</w:t>
      </w:r>
      <w:proofErr w:type="gramEnd"/>
      <w:r>
        <w:rPr>
          <w:rFonts w:ascii="仿宋_GB2312" w:eastAsia="仿宋_GB2312" w:hAnsi="仿宋_GB2312" w:cs="仿宋_GB2312" w:hint="eastAsia"/>
          <w:color w:val="000000"/>
          <w:sz w:val="32"/>
          <w:szCs w:val="32"/>
          <w:lang w:val="en-US" w:bidi="ar"/>
        </w:rPr>
        <w:t>平衡情况，在安排年初预算时调入并安排使用，安排或补充基金时在支出方反映，调入使用基金时在收入方反映。</w:t>
      </w: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lang w:val="en-US" w:bidi="ar"/>
        </w:rPr>
        <w:t>9、调入资金：</w:t>
      </w:r>
      <w:r>
        <w:rPr>
          <w:rFonts w:ascii="仿宋_GB2312" w:eastAsia="仿宋_GB2312" w:hAnsi="仿宋_GB2312" w:cs="仿宋_GB2312" w:hint="eastAsia"/>
          <w:color w:val="000000"/>
          <w:sz w:val="32"/>
          <w:szCs w:val="32"/>
          <w:lang w:val="en-US" w:bidi="ar"/>
        </w:rPr>
        <w:t>是指各级财政</w:t>
      </w:r>
      <w:proofErr w:type="gramStart"/>
      <w:r>
        <w:rPr>
          <w:rFonts w:ascii="仿宋_GB2312" w:eastAsia="仿宋_GB2312" w:hAnsi="仿宋_GB2312" w:cs="仿宋_GB2312" w:hint="eastAsia"/>
          <w:color w:val="000000"/>
          <w:sz w:val="32"/>
          <w:szCs w:val="32"/>
          <w:lang w:val="en-US" w:bidi="ar"/>
        </w:rPr>
        <w:t>因平衡</w:t>
      </w:r>
      <w:proofErr w:type="gramEnd"/>
      <w:r>
        <w:rPr>
          <w:rFonts w:ascii="仿宋_GB2312" w:eastAsia="仿宋_GB2312" w:hAnsi="仿宋_GB2312" w:cs="仿宋_GB2312" w:hint="eastAsia"/>
          <w:color w:val="000000"/>
          <w:sz w:val="32"/>
          <w:szCs w:val="32"/>
          <w:lang w:val="en-US" w:bidi="ar"/>
        </w:rPr>
        <w:t>当年一般公共预算收支，而从基金结余和其他渠道调入的资金。</w:t>
      </w:r>
    </w:p>
    <w:p w:rsidR="00923219" w:rsidRDefault="00E47A35">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lang w:val="en-US" w:bidi="ar"/>
        </w:rPr>
        <w:t>10、社会保险:</w:t>
      </w:r>
      <w:r>
        <w:rPr>
          <w:rFonts w:ascii="仿宋_GB2312" w:eastAsia="仿宋_GB2312" w:hAnsi="仿宋_GB2312" w:cs="仿宋_GB2312" w:hint="eastAsia"/>
          <w:color w:val="000000"/>
          <w:sz w:val="32"/>
          <w:szCs w:val="32"/>
          <w:lang w:val="en-US" w:bidi="ar"/>
        </w:rPr>
        <w:t>是指国家通过立法建立的，旨在保障劳动者因年老、失业、患病、工伤、生育而减少或丧失劳动收入时，依法从国家和社会获得经济补偿和物质帮助的社会保障制度。</w:t>
      </w:r>
    </w:p>
    <w:p w:rsidR="00923219" w:rsidRDefault="00E47A35">
      <w:pPr>
        <w:pStyle w:val="a3"/>
        <w:spacing w:before="4" w:line="360" w:lineRule="auto"/>
        <w:ind w:left="0" w:firstLineChars="200" w:firstLine="637"/>
        <w:rPr>
          <w:rFonts w:ascii="仿宋_GB2312" w:eastAsia="仿宋_GB2312" w:hAnsi="仿宋_GB2312" w:cs="仿宋_GB2312"/>
        </w:rPr>
      </w:pPr>
      <w:r>
        <w:rPr>
          <w:rFonts w:ascii="仿宋_GB2312" w:eastAsia="仿宋_GB2312" w:hAnsi="仿宋_GB2312" w:cs="仿宋_GB2312" w:hint="eastAsia"/>
          <w:b/>
          <w:bCs/>
          <w:spacing w:val="6"/>
          <w:w w:val="95"/>
          <w:lang w:val="en-US"/>
        </w:rPr>
        <w:t>11、</w:t>
      </w:r>
      <w:r>
        <w:rPr>
          <w:rFonts w:ascii="仿宋_GB2312" w:eastAsia="仿宋_GB2312" w:hAnsi="仿宋_GB2312" w:cs="仿宋_GB2312" w:hint="eastAsia"/>
          <w:b/>
          <w:bCs/>
          <w:spacing w:val="6"/>
          <w:w w:val="95"/>
        </w:rPr>
        <w:t>“三公”经费：</w:t>
      </w:r>
      <w:r>
        <w:rPr>
          <w:rFonts w:ascii="仿宋_GB2312" w:eastAsia="仿宋_GB2312" w:hAnsi="仿宋_GB2312" w:cs="仿宋_GB2312" w:hint="eastAsia"/>
          <w:spacing w:val="6"/>
          <w:w w:val="95"/>
        </w:rPr>
        <w:t>指使用一般公共预算财政拨款安排</w:t>
      </w:r>
      <w:r>
        <w:rPr>
          <w:rFonts w:ascii="仿宋_GB2312" w:eastAsia="仿宋_GB2312" w:hAnsi="仿宋_GB2312" w:cs="仿宋_GB2312" w:hint="eastAsia"/>
        </w:rPr>
        <w:t>的</w:t>
      </w:r>
      <w:r>
        <w:rPr>
          <w:rFonts w:ascii="仿宋_GB2312" w:eastAsia="仿宋_GB2312" w:hAnsi="仿宋_GB2312" w:cs="仿宋_GB2312" w:hint="eastAsia"/>
        </w:rPr>
        <w:lastRenderedPageBreak/>
        <w:t>因公出国(境)费、公务用车购置及运行维护费和公务接待</w:t>
      </w:r>
      <w:r>
        <w:rPr>
          <w:rFonts w:ascii="仿宋_GB2312" w:eastAsia="仿宋_GB2312" w:hAnsi="仿宋_GB2312" w:cs="仿宋_GB2312" w:hint="eastAsia"/>
          <w:spacing w:val="-3"/>
          <w:w w:val="95"/>
        </w:rPr>
        <w:t>费。其中，因公出国(境)费用反映单位公务出国(境)的国际</w:t>
      </w:r>
      <w:r>
        <w:rPr>
          <w:rFonts w:ascii="仿宋_GB2312" w:eastAsia="仿宋_GB2312" w:hAnsi="仿宋_GB2312" w:cs="仿宋_GB2312" w:hint="eastAsia"/>
          <w:spacing w:val="-3"/>
        </w:rPr>
        <w:t>旅费、国外城市间交通费、住宿费、伙食费、培训费、公杂</w:t>
      </w:r>
      <w:r>
        <w:rPr>
          <w:rFonts w:ascii="仿宋_GB2312" w:eastAsia="仿宋_GB2312" w:hAnsi="仿宋_GB2312" w:cs="仿宋_GB2312" w:hint="eastAsia"/>
          <w:spacing w:val="-5"/>
        </w:rPr>
        <w:t>费等支出；公务用车购置及运行维护费反映单位公务用车车</w:t>
      </w:r>
      <w:r>
        <w:rPr>
          <w:rFonts w:ascii="仿宋_GB2312" w:eastAsia="仿宋_GB2312" w:hAnsi="仿宋_GB2312" w:cs="仿宋_GB2312" w:hint="eastAsia"/>
          <w:spacing w:val="-5"/>
          <w:w w:val="95"/>
        </w:rPr>
        <w:t>辆购置支出(</w:t>
      </w:r>
      <w:proofErr w:type="gramStart"/>
      <w:r>
        <w:rPr>
          <w:rFonts w:ascii="仿宋_GB2312" w:eastAsia="仿宋_GB2312" w:hAnsi="仿宋_GB2312" w:cs="仿宋_GB2312" w:hint="eastAsia"/>
          <w:spacing w:val="-5"/>
          <w:w w:val="95"/>
        </w:rPr>
        <w:t>含车辆</w:t>
      </w:r>
      <w:proofErr w:type="gramEnd"/>
      <w:r>
        <w:rPr>
          <w:rFonts w:ascii="仿宋_GB2312" w:eastAsia="仿宋_GB2312" w:hAnsi="仿宋_GB2312" w:cs="仿宋_GB2312" w:hint="eastAsia"/>
          <w:spacing w:val="-5"/>
          <w:w w:val="95"/>
        </w:rPr>
        <w:t>购置税)及租用费、燃料费、维修费、过</w:t>
      </w:r>
      <w:r>
        <w:rPr>
          <w:rFonts w:ascii="仿宋_GB2312" w:eastAsia="仿宋_GB2312" w:hAnsi="仿宋_GB2312" w:cs="仿宋_GB2312" w:hint="eastAsia"/>
          <w:spacing w:val="-5"/>
        </w:rPr>
        <w:t>桥过路费、保险费、安全奖励费用等支出；公务接待</w:t>
      </w:r>
      <w:proofErr w:type="gramStart"/>
      <w:r>
        <w:rPr>
          <w:rFonts w:ascii="仿宋_GB2312" w:eastAsia="仿宋_GB2312" w:hAnsi="仿宋_GB2312" w:cs="仿宋_GB2312" w:hint="eastAsia"/>
          <w:spacing w:val="-5"/>
        </w:rPr>
        <w:t>费反映</w:t>
      </w:r>
      <w:proofErr w:type="gramEnd"/>
      <w:r>
        <w:rPr>
          <w:rFonts w:ascii="仿宋_GB2312" w:eastAsia="仿宋_GB2312" w:hAnsi="仿宋_GB2312" w:cs="仿宋_GB2312" w:hint="eastAsia"/>
          <w:spacing w:val="-5"/>
        </w:rPr>
        <w:t>单位按规定开支的各类公务接待(含外宾接待)费用。</w:t>
      </w:r>
    </w:p>
    <w:p w:rsidR="00923219" w:rsidRDefault="00E47A35">
      <w:pPr>
        <w:pStyle w:val="a3"/>
        <w:spacing w:line="360" w:lineRule="auto"/>
        <w:ind w:left="0" w:firstLineChars="200" w:firstLine="637"/>
        <w:rPr>
          <w:rFonts w:ascii="仿宋_GB2312" w:eastAsia="仿宋_GB2312" w:hAnsi="仿宋_GB2312" w:cs="仿宋_GB2312"/>
          <w:spacing w:val="-2"/>
        </w:rPr>
      </w:pPr>
      <w:r>
        <w:rPr>
          <w:rFonts w:ascii="仿宋_GB2312" w:eastAsia="仿宋_GB2312" w:hAnsi="仿宋_GB2312" w:cs="仿宋_GB2312" w:hint="eastAsia"/>
          <w:b/>
          <w:bCs/>
          <w:spacing w:val="6"/>
          <w:w w:val="95"/>
          <w:lang w:val="en-US"/>
        </w:rPr>
        <w:t>12、</w:t>
      </w:r>
      <w:r>
        <w:rPr>
          <w:rFonts w:ascii="仿宋_GB2312" w:eastAsia="仿宋_GB2312" w:hAnsi="仿宋_GB2312" w:cs="仿宋_GB2312" w:hint="eastAsia"/>
          <w:b/>
          <w:bCs/>
          <w:color w:val="454545"/>
          <w:shd w:val="clear" w:color="auto" w:fill="FFFFFF"/>
        </w:rPr>
        <w:t>民生支出：</w:t>
      </w:r>
      <w:r>
        <w:rPr>
          <w:rFonts w:ascii="仿宋_GB2312" w:eastAsia="仿宋_GB2312" w:hAnsi="仿宋_GB2312" w:cs="仿宋_GB2312" w:hint="eastAsia"/>
          <w:color w:val="454545"/>
          <w:shd w:val="clear" w:color="auto" w:fill="FFFFFF"/>
        </w:rPr>
        <w:t>指财政支出中用于保障和改善民生方面的支出。包括教育、科学技术、文化体育与传媒、社会保障和就业、医疗卫生与计划生育、节能环保、城乡社区、农林水、交通运输、商业服务业等、国土海洋气象等、住房保障、粮油物资储备等支出科目的总和，不包括一般公共服务、公共安全、资源勘探信息等、金融、其他支出等支出科目。</w:t>
      </w:r>
    </w:p>
    <w:p w:rsidR="00923219" w:rsidRDefault="00E47A35">
      <w:pPr>
        <w:pStyle w:val="a3"/>
        <w:spacing w:line="360" w:lineRule="auto"/>
        <w:ind w:left="0" w:firstLineChars="200" w:firstLine="634"/>
        <w:rPr>
          <w:rFonts w:ascii="仿宋_GB2312" w:eastAsia="仿宋_GB2312" w:hAnsi="仿宋_GB2312" w:cs="仿宋_GB2312"/>
          <w:spacing w:val="-2"/>
        </w:rPr>
      </w:pPr>
      <w:r>
        <w:rPr>
          <w:rFonts w:ascii="仿宋_GB2312" w:eastAsia="仿宋_GB2312" w:hAnsi="仿宋_GB2312" w:cs="仿宋_GB2312" w:hint="eastAsia"/>
          <w:b/>
          <w:bCs/>
          <w:spacing w:val="-2"/>
          <w:lang w:val="en-US"/>
        </w:rPr>
        <w:t>13、</w:t>
      </w:r>
      <w:r>
        <w:rPr>
          <w:rFonts w:ascii="仿宋_GB2312" w:eastAsia="仿宋_GB2312" w:hAnsi="仿宋_GB2312" w:cs="仿宋_GB2312" w:hint="eastAsia"/>
          <w:b/>
          <w:bCs/>
          <w:spacing w:val="-2"/>
        </w:rPr>
        <w:t>政府债务限额：</w:t>
      </w:r>
      <w:r>
        <w:rPr>
          <w:rFonts w:ascii="仿宋_GB2312" w:eastAsia="仿宋_GB2312" w:hAnsi="仿宋_GB2312" w:cs="仿宋_GB2312" w:hint="eastAsia"/>
          <w:spacing w:val="-2"/>
        </w:rPr>
        <w:t>由国务院、省、直辖市、自治区人民政府、行署逐级提出、并经同级人大批准的地方政府负有偿还责任债务余额的上限，包括：政府负有偿还责任的债务余额和政府债券。地区政府债务限额额度由省、直辖市、自治区确定，同时地区要在省、直辖市、自治区确定的政府债务限额内提出全地区的政府债务限额，报同级人大审议。</w:t>
      </w:r>
    </w:p>
    <w:p w:rsidR="00923219" w:rsidRDefault="00E47A35">
      <w:pPr>
        <w:pStyle w:val="a3"/>
        <w:spacing w:line="360" w:lineRule="auto"/>
        <w:ind w:left="0" w:firstLineChars="200" w:firstLine="634"/>
        <w:rPr>
          <w:rFonts w:ascii="仿宋_GB2312" w:eastAsia="仿宋_GB2312" w:hAnsi="仿宋_GB2312" w:cs="仿宋_GB2312"/>
          <w:color w:val="454545"/>
          <w:shd w:val="clear" w:color="auto" w:fill="FFFFFF"/>
        </w:rPr>
      </w:pPr>
      <w:r>
        <w:rPr>
          <w:rFonts w:ascii="仿宋_GB2312" w:eastAsia="仿宋_GB2312" w:hAnsi="仿宋_GB2312" w:cs="仿宋_GB2312" w:hint="eastAsia"/>
          <w:b/>
          <w:bCs/>
          <w:spacing w:val="-2"/>
          <w:lang w:val="en-US"/>
        </w:rPr>
        <w:t>14、</w:t>
      </w:r>
      <w:r>
        <w:rPr>
          <w:rFonts w:ascii="仿宋_GB2312" w:eastAsia="仿宋_GB2312" w:hAnsi="仿宋_GB2312" w:cs="仿宋_GB2312" w:hint="eastAsia"/>
          <w:b/>
          <w:bCs/>
          <w:color w:val="454545"/>
          <w:shd w:val="clear" w:color="auto" w:fill="FFFFFF"/>
        </w:rPr>
        <w:t>预算绩效管理：</w:t>
      </w:r>
      <w:r>
        <w:rPr>
          <w:rFonts w:ascii="仿宋_GB2312" w:eastAsia="仿宋_GB2312" w:hAnsi="仿宋_GB2312" w:cs="仿宋_GB2312" w:hint="eastAsia"/>
          <w:color w:val="454545"/>
          <w:shd w:val="clear" w:color="auto" w:fill="FFFFFF"/>
        </w:rPr>
        <w:t>预算绩效是指预算资金所达到的产出和结果。预算绩效管理是政府绩效管理的重要组成部分，是一种以支出结果为导向的预算管理模式。推进预算绩效管理，有利于提升预算管理水平、增强单位支出责任、提高公共服务质量、优化公共资源配置、节约公共支出成本。</w:t>
      </w:r>
    </w:p>
    <w:p w:rsidR="00923219" w:rsidRDefault="00E47A35">
      <w:pPr>
        <w:pStyle w:val="a3"/>
        <w:spacing w:line="360" w:lineRule="auto"/>
        <w:ind w:left="0" w:firstLineChars="200" w:firstLine="637"/>
        <w:rPr>
          <w:rFonts w:ascii="仿宋_GB2312" w:eastAsia="仿宋_GB2312" w:hAnsi="仿宋_GB2312" w:cs="仿宋_GB2312"/>
          <w:spacing w:val="-2"/>
        </w:rPr>
      </w:pPr>
      <w:r>
        <w:rPr>
          <w:rFonts w:ascii="仿宋_GB2312" w:eastAsia="仿宋_GB2312" w:hAnsi="仿宋_GB2312" w:cs="仿宋_GB2312" w:hint="eastAsia"/>
          <w:b/>
          <w:bCs/>
          <w:spacing w:val="6"/>
          <w:w w:val="95"/>
          <w:lang w:val="en-US"/>
        </w:rPr>
        <w:lastRenderedPageBreak/>
        <w:t>15、</w:t>
      </w:r>
      <w:r>
        <w:rPr>
          <w:rFonts w:ascii="仿宋_GB2312" w:eastAsia="仿宋_GB2312" w:hAnsi="仿宋_GB2312" w:cs="仿宋_GB2312" w:hint="eastAsia"/>
          <w:b/>
          <w:bCs/>
          <w:spacing w:val="6"/>
          <w:w w:val="95"/>
        </w:rPr>
        <w:t>财政绩效评价：</w:t>
      </w:r>
      <w:r>
        <w:rPr>
          <w:rFonts w:ascii="仿宋_GB2312" w:eastAsia="仿宋_GB2312" w:hAnsi="仿宋_GB2312" w:cs="仿宋_GB2312" w:hint="eastAsia"/>
          <w:spacing w:val="6"/>
          <w:w w:val="95"/>
        </w:rPr>
        <w:t>也称政府支出绩效评价，是指运用</w:t>
      </w:r>
      <w:r>
        <w:rPr>
          <w:rFonts w:ascii="仿宋_GB2312" w:eastAsia="仿宋_GB2312" w:hAnsi="仿宋_GB2312" w:cs="仿宋_GB2312" w:hint="eastAsia"/>
          <w:spacing w:val="-1"/>
          <w:w w:val="95"/>
        </w:rPr>
        <w:t>一定的评价方法、量化指标及评价标准，对政府部门为实现</w:t>
      </w:r>
      <w:r>
        <w:rPr>
          <w:rFonts w:ascii="仿宋_GB2312" w:eastAsia="仿宋_GB2312" w:hAnsi="仿宋_GB2312" w:cs="仿宋_GB2312" w:hint="eastAsia"/>
          <w:spacing w:val="-2"/>
        </w:rPr>
        <w:t>其职能所确定的绩效目标的实现程度、以及为实现这一目标所安排预算的执行结果进行的综合性评价。</w:t>
      </w:r>
    </w:p>
    <w:p w:rsidR="00923219" w:rsidRDefault="00923219"/>
    <w:sectPr w:rsidR="00923219">
      <w:pgSz w:w="11910" w:h="16840"/>
      <w:pgMar w:top="144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DD" w:rsidRDefault="00C35BDD" w:rsidP="009F094A">
      <w:r>
        <w:separator/>
      </w:r>
    </w:p>
  </w:endnote>
  <w:endnote w:type="continuationSeparator" w:id="0">
    <w:p w:rsidR="00C35BDD" w:rsidRDefault="00C35BDD" w:rsidP="009F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DD" w:rsidRDefault="00C35BDD" w:rsidP="009F094A">
      <w:r>
        <w:separator/>
      </w:r>
    </w:p>
  </w:footnote>
  <w:footnote w:type="continuationSeparator" w:id="0">
    <w:p w:rsidR="00C35BDD" w:rsidRDefault="00C35BDD" w:rsidP="009F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19"/>
    <w:rsid w:val="00923219"/>
    <w:rsid w:val="009F094A"/>
    <w:rsid w:val="00C35BDD"/>
    <w:rsid w:val="00E47A35"/>
    <w:rsid w:val="2892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
      <w:ind w:left="120" w:right="117" w:firstLine="640"/>
      <w:jc w:val="both"/>
    </w:pPr>
    <w:rPr>
      <w:sz w:val="32"/>
      <w:szCs w:val="32"/>
    </w:rPr>
  </w:style>
  <w:style w:type="paragraph" w:styleId="a4">
    <w:name w:val="header"/>
    <w:basedOn w:val="a"/>
    <w:link w:val="Char"/>
    <w:rsid w:val="009F0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094A"/>
    <w:rPr>
      <w:rFonts w:ascii="仿宋" w:eastAsia="仿宋" w:hAnsi="仿宋" w:cs="仿宋"/>
      <w:sz w:val="18"/>
      <w:szCs w:val="18"/>
      <w:lang w:val="zh-CN" w:bidi="zh-CN"/>
    </w:rPr>
  </w:style>
  <w:style w:type="paragraph" w:styleId="a5">
    <w:name w:val="footer"/>
    <w:basedOn w:val="a"/>
    <w:link w:val="Char0"/>
    <w:rsid w:val="009F094A"/>
    <w:pPr>
      <w:tabs>
        <w:tab w:val="center" w:pos="4153"/>
        <w:tab w:val="right" w:pos="8306"/>
      </w:tabs>
      <w:snapToGrid w:val="0"/>
    </w:pPr>
    <w:rPr>
      <w:sz w:val="18"/>
      <w:szCs w:val="18"/>
    </w:rPr>
  </w:style>
  <w:style w:type="character" w:customStyle="1" w:styleId="Char0">
    <w:name w:val="页脚 Char"/>
    <w:basedOn w:val="a0"/>
    <w:link w:val="a5"/>
    <w:rsid w:val="009F094A"/>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
      <w:ind w:left="120" w:right="117" w:firstLine="640"/>
      <w:jc w:val="both"/>
    </w:pPr>
    <w:rPr>
      <w:sz w:val="32"/>
      <w:szCs w:val="32"/>
    </w:rPr>
  </w:style>
  <w:style w:type="paragraph" w:styleId="a4">
    <w:name w:val="header"/>
    <w:basedOn w:val="a"/>
    <w:link w:val="Char"/>
    <w:rsid w:val="009F0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094A"/>
    <w:rPr>
      <w:rFonts w:ascii="仿宋" w:eastAsia="仿宋" w:hAnsi="仿宋" w:cs="仿宋"/>
      <w:sz w:val="18"/>
      <w:szCs w:val="18"/>
      <w:lang w:val="zh-CN" w:bidi="zh-CN"/>
    </w:rPr>
  </w:style>
  <w:style w:type="paragraph" w:styleId="a5">
    <w:name w:val="footer"/>
    <w:basedOn w:val="a"/>
    <w:link w:val="Char0"/>
    <w:rsid w:val="009F094A"/>
    <w:pPr>
      <w:tabs>
        <w:tab w:val="center" w:pos="4153"/>
        <w:tab w:val="right" w:pos="8306"/>
      </w:tabs>
      <w:snapToGrid w:val="0"/>
    </w:pPr>
    <w:rPr>
      <w:sz w:val="18"/>
      <w:szCs w:val="18"/>
    </w:rPr>
  </w:style>
  <w:style w:type="character" w:customStyle="1" w:styleId="Char0">
    <w:name w:val="页脚 Char"/>
    <w:basedOn w:val="a0"/>
    <w:link w:val="a5"/>
    <w:rsid w:val="009F094A"/>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2021-11-03T01:09:00Z</cp:lastPrinted>
  <dcterms:created xsi:type="dcterms:W3CDTF">2021-05-17T14:48:00Z</dcterms:created>
  <dcterms:modified xsi:type="dcterms:W3CDTF">2021-11-03T01:09:00Z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